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7F17" w:rsidRDefault="00EC1A59" w:rsidP="0081615E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81615E">
        <w:rPr>
          <w:rFonts w:ascii="Arial" w:hAnsi="Arial" w:cs="Arial"/>
          <w:sz w:val="22"/>
          <w:szCs w:val="22"/>
        </w:rPr>
        <w:t>T</w:t>
      </w:r>
      <w:r w:rsidR="00F77F17">
        <w:rPr>
          <w:rFonts w:ascii="Arial" w:hAnsi="Arial" w:cs="Arial"/>
          <w:sz w:val="22"/>
          <w:szCs w:val="22"/>
        </w:rPr>
        <w:t xml:space="preserve">he criminal justice system plays an important role in creating a safe community for Queenslanders. Equally as important is the need to ensure that people within the community also enjoy a sense of safety. </w:t>
      </w:r>
    </w:p>
    <w:p w:rsidR="00500046" w:rsidRDefault="00500046" w:rsidP="00F77F17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The task of sentencing is complex and is one of the most difficult functions performed by the courts.</w:t>
      </w:r>
    </w:p>
    <w:p w:rsidR="00F77F17" w:rsidRDefault="00F77F17" w:rsidP="00F77F17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It is vital that the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 community has confidence in th</w:t>
      </w:r>
      <w:r w:rsidR="0045325B">
        <w:rPr>
          <w:rFonts w:ascii="Arial" w:hAnsi="Arial" w:cs="Arial"/>
          <w:sz w:val="22"/>
          <w:szCs w:val="22"/>
        </w:rPr>
        <w:t xml:space="preserve">e criminal sentencing process. </w:t>
      </w:r>
    </w:p>
    <w:p w:rsidR="00F77F17" w:rsidRDefault="00F77F17" w:rsidP="00F77F17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Queensland</w:t>
          </w:r>
        </w:smartTag>
      </w:smartTag>
      <w:r>
        <w:rPr>
          <w:rFonts w:ascii="Arial" w:hAnsi="Arial" w:cs="Arial"/>
          <w:sz w:val="22"/>
          <w:szCs w:val="22"/>
        </w:rPr>
        <w:t xml:space="preserve">, the </w:t>
      </w:r>
      <w:r>
        <w:rPr>
          <w:rFonts w:ascii="Arial" w:hAnsi="Arial" w:cs="Arial"/>
          <w:i/>
          <w:sz w:val="22"/>
          <w:szCs w:val="22"/>
        </w:rPr>
        <w:t>Penalties and Sentences Act</w:t>
      </w:r>
      <w:r w:rsidRPr="00F77F17">
        <w:rPr>
          <w:rFonts w:ascii="Arial" w:hAnsi="Arial" w:cs="Arial"/>
          <w:i/>
          <w:sz w:val="22"/>
          <w:szCs w:val="22"/>
        </w:rPr>
        <w:t xml:space="preserve"> 1992</w:t>
      </w:r>
      <w:r>
        <w:rPr>
          <w:rFonts w:ascii="Arial" w:hAnsi="Arial" w:cs="Arial"/>
          <w:sz w:val="22"/>
          <w:szCs w:val="22"/>
        </w:rPr>
        <w:t xml:space="preserve"> </w:t>
      </w:r>
      <w:r w:rsidR="00603637">
        <w:rPr>
          <w:rFonts w:ascii="Arial" w:hAnsi="Arial" w:cs="Arial"/>
          <w:sz w:val="22"/>
          <w:szCs w:val="22"/>
        </w:rPr>
        <w:t xml:space="preserve">sets out the purposes of sentencing and sentencing principles.  </w:t>
      </w:r>
    </w:p>
    <w:p w:rsidR="00603637" w:rsidRDefault="00603637" w:rsidP="00F77F17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</w:rPr>
      </w:pPr>
      <w:smartTag w:uri="urn:schemas-microsoft-com:office:smarttags" w:element="country-region">
        <w:r>
          <w:rPr>
            <w:rFonts w:ascii="Arial" w:hAnsi="Arial" w:cs="Arial"/>
            <w:sz w:val="22"/>
            <w:szCs w:val="22"/>
          </w:rPr>
          <w:t>Australia</w:t>
        </w:r>
      </w:smartTag>
      <w:r>
        <w:rPr>
          <w:rFonts w:ascii="Arial" w:hAnsi="Arial" w:cs="Arial"/>
          <w:sz w:val="22"/>
          <w:szCs w:val="22"/>
        </w:rPr>
        <w:t xml:space="preserve"> has two established Sentencing Advisory Councils; one in </w:t>
      </w:r>
      <w:smartTag w:uri="urn:schemas-microsoft-com:office:smarttags" w:element="State">
        <w:r>
          <w:rPr>
            <w:rFonts w:ascii="Arial" w:hAnsi="Arial" w:cs="Arial"/>
            <w:sz w:val="22"/>
            <w:szCs w:val="22"/>
          </w:rPr>
          <w:t>Victoria</w:t>
        </w:r>
      </w:smartTag>
      <w:r>
        <w:rPr>
          <w:rFonts w:ascii="Arial" w:hAnsi="Arial" w:cs="Arial"/>
          <w:sz w:val="22"/>
          <w:szCs w:val="22"/>
        </w:rPr>
        <w:t xml:space="preserve"> and one in </w:t>
      </w:r>
      <w:smartTag w:uri="urn:schemas-microsoft-com:office:smarttags" w:element="place">
        <w:smartTag w:uri="urn:schemas-microsoft-com:office:smarttags" w:element="State">
          <w:r>
            <w:rPr>
              <w:rFonts w:ascii="Arial" w:hAnsi="Arial" w:cs="Arial"/>
              <w:sz w:val="22"/>
              <w:szCs w:val="22"/>
            </w:rPr>
            <w:t>New South Wales</w:t>
          </w:r>
        </w:smartTag>
      </w:smartTag>
      <w:r>
        <w:rPr>
          <w:rFonts w:ascii="Arial" w:hAnsi="Arial" w:cs="Arial"/>
          <w:sz w:val="22"/>
          <w:szCs w:val="22"/>
        </w:rPr>
        <w:t xml:space="preserve">. The </w:t>
      </w:r>
      <w:r w:rsidR="0011347C">
        <w:rPr>
          <w:rFonts w:ascii="Arial" w:hAnsi="Arial" w:cs="Arial"/>
          <w:sz w:val="22"/>
          <w:szCs w:val="22"/>
        </w:rPr>
        <w:t xml:space="preserve">overall </w:t>
      </w:r>
      <w:r>
        <w:rPr>
          <w:rFonts w:ascii="Arial" w:hAnsi="Arial" w:cs="Arial"/>
          <w:sz w:val="22"/>
          <w:szCs w:val="22"/>
        </w:rPr>
        <w:t xml:space="preserve">objectives of these bodies is to promote consistency in sentencing, </w:t>
      </w:r>
      <w:r w:rsidR="00327BC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stimulate balanced public debate on sentencing issues and </w:t>
      </w:r>
      <w:r w:rsidR="00327BCC">
        <w:rPr>
          <w:rFonts w:ascii="Arial" w:hAnsi="Arial" w:cs="Arial"/>
          <w:sz w:val="22"/>
          <w:szCs w:val="22"/>
        </w:rPr>
        <w:t xml:space="preserve">to </w:t>
      </w:r>
      <w:r>
        <w:rPr>
          <w:rFonts w:ascii="Arial" w:hAnsi="Arial" w:cs="Arial"/>
          <w:sz w:val="22"/>
          <w:szCs w:val="22"/>
        </w:rPr>
        <w:t xml:space="preserve">incorporate informed public opinion into the process thereby enhancing public confidence in the sentencing system. </w:t>
      </w:r>
      <w:r w:rsidR="00327BCC">
        <w:rPr>
          <w:rFonts w:ascii="Arial" w:hAnsi="Arial" w:cs="Arial"/>
          <w:sz w:val="22"/>
          <w:szCs w:val="22"/>
        </w:rPr>
        <w:t>These bodies have a</w:t>
      </w:r>
      <w:r>
        <w:rPr>
          <w:rFonts w:ascii="Arial" w:hAnsi="Arial" w:cs="Arial"/>
          <w:sz w:val="22"/>
          <w:szCs w:val="22"/>
        </w:rPr>
        <w:t>dvisory, research</w:t>
      </w:r>
      <w:r w:rsidR="00221C68">
        <w:rPr>
          <w:rFonts w:ascii="Arial" w:hAnsi="Arial" w:cs="Arial"/>
          <w:sz w:val="22"/>
          <w:szCs w:val="22"/>
        </w:rPr>
        <w:t>, education</w:t>
      </w:r>
      <w:r>
        <w:rPr>
          <w:rFonts w:ascii="Arial" w:hAnsi="Arial" w:cs="Arial"/>
          <w:sz w:val="22"/>
          <w:szCs w:val="22"/>
        </w:rPr>
        <w:t xml:space="preserve"> and consultative functions. </w:t>
      </w:r>
      <w:r w:rsidR="00500046">
        <w:rPr>
          <w:rFonts w:ascii="Arial" w:hAnsi="Arial" w:cs="Arial"/>
          <w:sz w:val="22"/>
          <w:szCs w:val="22"/>
        </w:rPr>
        <w:t>T</w:t>
      </w:r>
      <w:r>
        <w:rPr>
          <w:rFonts w:ascii="Arial" w:hAnsi="Arial" w:cs="Arial"/>
          <w:sz w:val="22"/>
          <w:szCs w:val="22"/>
        </w:rPr>
        <w:t>hey have broad based membership</w:t>
      </w:r>
      <w:r w:rsidR="00327BCC">
        <w:rPr>
          <w:rFonts w:ascii="Arial" w:hAnsi="Arial" w:cs="Arial"/>
          <w:sz w:val="22"/>
          <w:szCs w:val="22"/>
        </w:rPr>
        <w:t>s</w:t>
      </w:r>
      <w:r>
        <w:rPr>
          <w:rFonts w:ascii="Arial" w:hAnsi="Arial" w:cs="Arial"/>
          <w:sz w:val="22"/>
          <w:szCs w:val="22"/>
        </w:rPr>
        <w:t xml:space="preserve"> comprising persons experienced in </w:t>
      </w:r>
      <w:r w:rsidR="00327BCC">
        <w:rPr>
          <w:rFonts w:ascii="Arial" w:hAnsi="Arial" w:cs="Arial"/>
          <w:sz w:val="22"/>
          <w:szCs w:val="22"/>
        </w:rPr>
        <w:t xml:space="preserve">the </w:t>
      </w:r>
      <w:r>
        <w:rPr>
          <w:rFonts w:ascii="Arial" w:hAnsi="Arial" w:cs="Arial"/>
          <w:sz w:val="22"/>
          <w:szCs w:val="22"/>
        </w:rPr>
        <w:t xml:space="preserve">areas of sentencing and the criminal justice system, and include </w:t>
      </w:r>
      <w:r w:rsidR="0011347C">
        <w:rPr>
          <w:rFonts w:ascii="Arial" w:hAnsi="Arial" w:cs="Arial"/>
          <w:sz w:val="22"/>
          <w:szCs w:val="22"/>
        </w:rPr>
        <w:t>community representation</w:t>
      </w:r>
      <w:r>
        <w:rPr>
          <w:rFonts w:ascii="Arial" w:hAnsi="Arial" w:cs="Arial"/>
          <w:sz w:val="22"/>
          <w:szCs w:val="22"/>
        </w:rPr>
        <w:t xml:space="preserve">.  </w:t>
      </w:r>
    </w:p>
    <w:p w:rsidR="0045325B" w:rsidRPr="0045325B" w:rsidRDefault="00603637" w:rsidP="0081615E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 w:rsidRPr="00054323">
        <w:rPr>
          <w:rFonts w:ascii="Arial" w:hAnsi="Arial" w:cs="Arial"/>
          <w:sz w:val="22"/>
          <w:szCs w:val="22"/>
          <w:u w:val="single"/>
        </w:rPr>
        <w:t>Cabinet approved</w:t>
      </w:r>
      <w:r>
        <w:rPr>
          <w:rFonts w:ascii="Arial" w:hAnsi="Arial" w:cs="Arial"/>
          <w:sz w:val="22"/>
          <w:szCs w:val="22"/>
        </w:rPr>
        <w:t xml:space="preserve"> the creation of a Sentencing Advisory Council for Queensland</w:t>
      </w:r>
      <w:r w:rsidR="00054323">
        <w:rPr>
          <w:rFonts w:ascii="Arial" w:hAnsi="Arial" w:cs="Arial"/>
          <w:sz w:val="22"/>
          <w:szCs w:val="22"/>
        </w:rPr>
        <w:t xml:space="preserve"> </w:t>
      </w:r>
    </w:p>
    <w:p w:rsidR="0081615E" w:rsidRPr="00603637" w:rsidRDefault="0045325B" w:rsidP="0081615E">
      <w:pPr>
        <w:numPr>
          <w:ilvl w:val="0"/>
          <w:numId w:val="20"/>
        </w:numPr>
        <w:spacing w:before="24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  <w:u w:val="single"/>
        </w:rPr>
        <w:t xml:space="preserve">Cabinet </w:t>
      </w:r>
      <w:r w:rsidRPr="0045325B">
        <w:rPr>
          <w:rFonts w:ascii="Arial" w:hAnsi="Arial" w:cs="Arial"/>
          <w:sz w:val="22"/>
          <w:szCs w:val="22"/>
          <w:u w:val="single"/>
        </w:rPr>
        <w:t>approved</w:t>
      </w:r>
      <w:r>
        <w:rPr>
          <w:rFonts w:ascii="Arial" w:hAnsi="Arial" w:cs="Arial"/>
          <w:sz w:val="22"/>
          <w:szCs w:val="22"/>
        </w:rPr>
        <w:t xml:space="preserve"> </w:t>
      </w:r>
      <w:r w:rsidR="00054323" w:rsidRPr="0045325B">
        <w:rPr>
          <w:rFonts w:ascii="Arial" w:hAnsi="Arial" w:cs="Arial"/>
          <w:sz w:val="22"/>
          <w:szCs w:val="22"/>
        </w:rPr>
        <w:t>t</w:t>
      </w:r>
      <w:r w:rsidR="00603637" w:rsidRPr="0045325B">
        <w:rPr>
          <w:rFonts w:ascii="Arial" w:hAnsi="Arial" w:cs="Arial"/>
          <w:sz w:val="22"/>
          <w:szCs w:val="22"/>
        </w:rPr>
        <w:t>he</w:t>
      </w:r>
      <w:r w:rsidR="00603637">
        <w:rPr>
          <w:rFonts w:ascii="Arial" w:hAnsi="Arial" w:cs="Arial"/>
          <w:sz w:val="22"/>
          <w:szCs w:val="22"/>
        </w:rPr>
        <w:t xml:space="preserve"> development of measures </w:t>
      </w:r>
      <w:r w:rsidR="00054323">
        <w:rPr>
          <w:rFonts w:ascii="Arial" w:hAnsi="Arial" w:cs="Arial"/>
          <w:sz w:val="22"/>
          <w:szCs w:val="22"/>
        </w:rPr>
        <w:t xml:space="preserve">to </w:t>
      </w:r>
      <w:r w:rsidR="00603637">
        <w:rPr>
          <w:rFonts w:ascii="Arial" w:hAnsi="Arial" w:cs="Arial"/>
          <w:sz w:val="22"/>
          <w:szCs w:val="22"/>
        </w:rPr>
        <w:t xml:space="preserve">strengthen the adult sentencing regime with regard to certain serious offending, </w:t>
      </w:r>
      <w:r w:rsidR="00500046">
        <w:rPr>
          <w:rFonts w:ascii="Arial" w:hAnsi="Arial" w:cs="Arial"/>
          <w:sz w:val="22"/>
          <w:szCs w:val="22"/>
        </w:rPr>
        <w:t>by</w:t>
      </w:r>
      <w:r w:rsidR="00603637">
        <w:rPr>
          <w:rFonts w:ascii="Arial" w:hAnsi="Arial" w:cs="Arial"/>
          <w:sz w:val="22"/>
          <w:szCs w:val="22"/>
        </w:rPr>
        <w:t>:</w:t>
      </w:r>
    </w:p>
    <w:p w:rsidR="00603637" w:rsidRDefault="00603637" w:rsidP="00621D23">
      <w:pPr>
        <w:numPr>
          <w:ilvl w:val="1"/>
          <w:numId w:val="20"/>
        </w:numPr>
        <w:tabs>
          <w:tab w:val="clear" w:pos="1440"/>
          <w:tab w:val="num" w:pos="720"/>
        </w:tabs>
        <w:spacing w:before="240"/>
        <w:ind w:left="72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amend</w:t>
      </w:r>
      <w:r w:rsidR="0050004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section 9 of the </w:t>
      </w:r>
      <w:r w:rsidRPr="000F7A85">
        <w:rPr>
          <w:rFonts w:ascii="Arial" w:hAnsi="Arial" w:cs="Arial"/>
          <w:sz w:val="22"/>
          <w:szCs w:val="22"/>
        </w:rPr>
        <w:t xml:space="preserve">Penalties and Sentences Act </w:t>
      </w:r>
      <w:r>
        <w:rPr>
          <w:rFonts w:ascii="Arial" w:hAnsi="Arial" w:cs="Arial"/>
          <w:sz w:val="22"/>
          <w:szCs w:val="22"/>
        </w:rPr>
        <w:t xml:space="preserve">to insert a provision that an </w:t>
      </w:r>
      <w:r w:rsidR="00897258">
        <w:rPr>
          <w:rFonts w:ascii="Arial" w:hAnsi="Arial" w:cs="Arial"/>
          <w:sz w:val="22"/>
          <w:szCs w:val="22"/>
        </w:rPr>
        <w:t>offender</w:t>
      </w:r>
      <w:r>
        <w:rPr>
          <w:rFonts w:ascii="Arial" w:hAnsi="Arial" w:cs="Arial"/>
          <w:sz w:val="22"/>
          <w:szCs w:val="22"/>
        </w:rPr>
        <w:t xml:space="preserve"> who commits a sexual offence/s against a child</w:t>
      </w:r>
      <w:r w:rsidR="00897258">
        <w:rPr>
          <w:rFonts w:ascii="Arial" w:hAnsi="Arial" w:cs="Arial"/>
          <w:sz w:val="22"/>
          <w:szCs w:val="22"/>
        </w:rPr>
        <w:t xml:space="preserve"> under 16 years</w:t>
      </w:r>
      <w:r>
        <w:rPr>
          <w:rFonts w:ascii="Arial" w:hAnsi="Arial" w:cs="Arial"/>
          <w:sz w:val="22"/>
          <w:szCs w:val="22"/>
        </w:rPr>
        <w:t xml:space="preserve"> must serve an actual period of imprisonment unless there are exceptional circumstances;</w:t>
      </w:r>
    </w:p>
    <w:p w:rsidR="00603637" w:rsidRPr="00603637" w:rsidRDefault="00603637" w:rsidP="00621D23">
      <w:pPr>
        <w:numPr>
          <w:ilvl w:val="1"/>
          <w:numId w:val="20"/>
        </w:numPr>
        <w:tabs>
          <w:tab w:val="clear" w:pos="1440"/>
          <w:tab w:val="num" w:pos="720"/>
        </w:tabs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amend</w:t>
      </w:r>
      <w:r w:rsidR="0050004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section 9 of the </w:t>
      </w:r>
      <w:r w:rsidRPr="000F7A85">
        <w:rPr>
          <w:rFonts w:ascii="Arial" w:hAnsi="Arial" w:cs="Arial"/>
          <w:sz w:val="22"/>
          <w:szCs w:val="22"/>
        </w:rPr>
        <w:t xml:space="preserve">Penalties and Sentences Act </w:t>
      </w:r>
      <w:r>
        <w:rPr>
          <w:rFonts w:ascii="Arial" w:hAnsi="Arial" w:cs="Arial"/>
          <w:sz w:val="22"/>
          <w:szCs w:val="22"/>
        </w:rPr>
        <w:t xml:space="preserve"> to insert a provision that in considering the seriousness of an offence committed by </w:t>
      </w:r>
      <w:r w:rsidR="0011347C">
        <w:rPr>
          <w:rFonts w:ascii="Arial" w:hAnsi="Arial" w:cs="Arial"/>
          <w:sz w:val="22"/>
          <w:szCs w:val="22"/>
        </w:rPr>
        <w:t xml:space="preserve">a repeat offender, the court is to treat each previous </w:t>
      </w:r>
      <w:r w:rsidR="00897258">
        <w:rPr>
          <w:rFonts w:ascii="Arial" w:hAnsi="Arial" w:cs="Arial"/>
          <w:sz w:val="22"/>
          <w:szCs w:val="22"/>
        </w:rPr>
        <w:t xml:space="preserve">relevant </w:t>
      </w:r>
      <w:r w:rsidR="0011347C">
        <w:rPr>
          <w:rFonts w:ascii="Arial" w:hAnsi="Arial" w:cs="Arial"/>
          <w:sz w:val="22"/>
          <w:szCs w:val="22"/>
        </w:rPr>
        <w:t xml:space="preserve">conviction as an aggravating factor </w:t>
      </w:r>
      <w:r w:rsidR="00897258">
        <w:rPr>
          <w:rFonts w:ascii="Arial" w:hAnsi="Arial" w:cs="Arial"/>
          <w:sz w:val="22"/>
          <w:szCs w:val="22"/>
        </w:rPr>
        <w:t xml:space="preserve">when determining the appropriate sentence (however </w:t>
      </w:r>
      <w:r w:rsidR="00897258" w:rsidRPr="00897258">
        <w:rPr>
          <w:rFonts w:ascii="Arial" w:hAnsi="Arial" w:cs="Arial"/>
          <w:bCs/>
          <w:sz w:val="22"/>
          <w:szCs w:val="22"/>
        </w:rPr>
        <w:t>the penalty imposed must not be disproportionate to the gravity of the current offence</w:t>
      </w:r>
      <w:r w:rsidR="00C054E2">
        <w:rPr>
          <w:rFonts w:ascii="Arial" w:hAnsi="Arial" w:cs="Arial"/>
          <w:bCs/>
          <w:sz w:val="22"/>
          <w:szCs w:val="22"/>
        </w:rPr>
        <w:t>)</w:t>
      </w:r>
      <w:r w:rsidR="00897258" w:rsidDel="00897258">
        <w:rPr>
          <w:rFonts w:ascii="Arial" w:hAnsi="Arial" w:cs="Arial"/>
          <w:sz w:val="22"/>
          <w:szCs w:val="22"/>
        </w:rPr>
        <w:t xml:space="preserve"> </w:t>
      </w:r>
      <w:r w:rsidR="0011347C">
        <w:rPr>
          <w:rFonts w:ascii="Arial" w:hAnsi="Arial" w:cs="Arial"/>
          <w:sz w:val="22"/>
          <w:szCs w:val="22"/>
        </w:rPr>
        <w:t>;</w:t>
      </w:r>
      <w:r w:rsidR="0096389D">
        <w:rPr>
          <w:rFonts w:ascii="Arial" w:hAnsi="Arial" w:cs="Arial"/>
          <w:sz w:val="22"/>
          <w:szCs w:val="22"/>
        </w:rPr>
        <w:t xml:space="preserve"> and</w:t>
      </w:r>
    </w:p>
    <w:p w:rsidR="00603637" w:rsidRPr="00621D23" w:rsidRDefault="00DA1220" w:rsidP="00621D23">
      <w:pPr>
        <w:numPr>
          <w:ilvl w:val="1"/>
          <w:numId w:val="20"/>
        </w:numPr>
        <w:tabs>
          <w:tab w:val="clear" w:pos="1440"/>
          <w:tab w:val="num" w:pos="720"/>
        </w:tabs>
        <w:spacing w:before="240"/>
        <w:ind w:left="720"/>
        <w:jc w:val="both"/>
        <w:rPr>
          <w:rFonts w:ascii="Arial" w:hAnsi="Arial" w:cs="Arial"/>
          <w:sz w:val="22"/>
          <w:szCs w:val="22"/>
          <w:u w:val="single"/>
        </w:rPr>
      </w:pPr>
      <w:r>
        <w:rPr>
          <w:rFonts w:ascii="Arial" w:hAnsi="Arial" w:cs="Arial"/>
          <w:sz w:val="22"/>
          <w:szCs w:val="22"/>
        </w:rPr>
        <w:t>amend</w:t>
      </w:r>
      <w:r w:rsidR="00500046">
        <w:rPr>
          <w:rFonts w:ascii="Arial" w:hAnsi="Arial" w:cs="Arial"/>
          <w:sz w:val="22"/>
          <w:szCs w:val="22"/>
        </w:rPr>
        <w:t>ing</w:t>
      </w:r>
      <w:r>
        <w:rPr>
          <w:rFonts w:ascii="Arial" w:hAnsi="Arial" w:cs="Arial"/>
          <w:sz w:val="22"/>
          <w:szCs w:val="22"/>
        </w:rPr>
        <w:t xml:space="preserve"> Part 9A of the </w:t>
      </w:r>
      <w:r w:rsidRPr="000F7A85">
        <w:rPr>
          <w:rFonts w:ascii="Arial" w:hAnsi="Arial" w:cs="Arial"/>
          <w:sz w:val="22"/>
          <w:szCs w:val="22"/>
        </w:rPr>
        <w:t xml:space="preserve">Penalties and Sentences Act </w:t>
      </w:r>
      <w:r>
        <w:rPr>
          <w:rFonts w:ascii="Arial" w:hAnsi="Arial" w:cs="Arial"/>
          <w:sz w:val="22"/>
          <w:szCs w:val="22"/>
        </w:rPr>
        <w:t>to insert a provision that violence to children, particularly when death results, is to be regarded as a</w:t>
      </w:r>
      <w:r w:rsidR="00221C68">
        <w:rPr>
          <w:rFonts w:ascii="Arial" w:hAnsi="Arial" w:cs="Arial"/>
          <w:sz w:val="22"/>
          <w:szCs w:val="22"/>
        </w:rPr>
        <w:t xml:space="preserve">n aggravating factor </w:t>
      </w:r>
      <w:r>
        <w:rPr>
          <w:rFonts w:ascii="Arial" w:hAnsi="Arial" w:cs="Arial"/>
          <w:sz w:val="22"/>
          <w:szCs w:val="22"/>
        </w:rPr>
        <w:t>when considering the discretion to declare a</w:t>
      </w:r>
      <w:r w:rsidR="0011347C">
        <w:rPr>
          <w:rFonts w:ascii="Arial" w:hAnsi="Arial" w:cs="Arial"/>
          <w:sz w:val="22"/>
          <w:szCs w:val="22"/>
        </w:rPr>
        <w:t xml:space="preserve">n offence to be a </w:t>
      </w:r>
      <w:r>
        <w:rPr>
          <w:rFonts w:ascii="Arial" w:hAnsi="Arial" w:cs="Arial"/>
          <w:sz w:val="22"/>
          <w:szCs w:val="22"/>
        </w:rPr>
        <w:t>serious violent offence.</w:t>
      </w:r>
    </w:p>
    <w:p w:rsidR="00621D23" w:rsidRPr="00621D23" w:rsidRDefault="00621D23" w:rsidP="0045325B">
      <w:pPr>
        <w:spacing w:before="120"/>
        <w:ind w:left="1077"/>
        <w:jc w:val="both"/>
        <w:rPr>
          <w:rFonts w:ascii="Arial" w:hAnsi="Arial" w:cs="Arial"/>
          <w:sz w:val="22"/>
          <w:szCs w:val="22"/>
          <w:u w:val="single"/>
        </w:rPr>
      </w:pPr>
    </w:p>
    <w:p w:rsidR="00621D23" w:rsidRPr="00D9747B" w:rsidRDefault="00621D23" w:rsidP="00621D23">
      <w:pPr>
        <w:keepNext/>
        <w:numPr>
          <w:ilvl w:val="0"/>
          <w:numId w:val="20"/>
        </w:numPr>
        <w:jc w:val="both"/>
        <w:rPr>
          <w:rFonts w:ascii="Arial" w:hAnsi="Arial" w:cs="Arial"/>
          <w:i/>
          <w:sz w:val="22"/>
          <w:szCs w:val="22"/>
        </w:rPr>
      </w:pPr>
      <w:r w:rsidRPr="00621D23">
        <w:rPr>
          <w:rFonts w:ascii="Arial" w:hAnsi="Arial" w:cs="Arial"/>
          <w:sz w:val="22"/>
          <w:szCs w:val="22"/>
        </w:rPr>
        <w:t xml:space="preserve"> </w:t>
      </w:r>
      <w:r w:rsidRPr="00D9747B">
        <w:rPr>
          <w:rFonts w:ascii="Arial" w:hAnsi="Arial" w:cs="Arial"/>
          <w:i/>
          <w:sz w:val="22"/>
          <w:szCs w:val="22"/>
          <w:u w:val="single"/>
        </w:rPr>
        <w:t>Attachments</w:t>
      </w:r>
    </w:p>
    <w:p w:rsidR="00621D23" w:rsidRPr="00621D23" w:rsidRDefault="00621D23" w:rsidP="00D9747B">
      <w:pPr>
        <w:numPr>
          <w:ilvl w:val="1"/>
          <w:numId w:val="20"/>
        </w:numPr>
        <w:tabs>
          <w:tab w:val="clear" w:pos="1440"/>
          <w:tab w:val="num" w:pos="720"/>
        </w:tabs>
        <w:spacing w:before="120"/>
        <w:ind w:left="714" w:hanging="357"/>
        <w:jc w:val="both"/>
        <w:rPr>
          <w:rFonts w:ascii="Arial" w:hAnsi="Arial" w:cs="Arial"/>
          <w:sz w:val="22"/>
          <w:szCs w:val="22"/>
        </w:rPr>
      </w:pPr>
      <w:r w:rsidRPr="00621D23">
        <w:rPr>
          <w:rFonts w:ascii="Arial" w:hAnsi="Arial" w:cs="Arial"/>
          <w:sz w:val="22"/>
          <w:szCs w:val="22"/>
        </w:rPr>
        <w:t>Nil</w:t>
      </w:r>
    </w:p>
    <w:sectPr w:rsidR="00621D23" w:rsidRPr="00621D23" w:rsidSect="007D3B9D">
      <w:headerReference w:type="default" r:id="rId7"/>
      <w:pgSz w:w="11907" w:h="16840" w:code="9"/>
      <w:pgMar w:top="1985" w:right="1418" w:bottom="907" w:left="1418" w:header="899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40FA8" w:rsidRDefault="00540FA8">
      <w:r>
        <w:separator/>
      </w:r>
    </w:p>
  </w:endnote>
  <w:endnote w:type="continuationSeparator" w:id="0">
    <w:p w:rsidR="00540FA8" w:rsidRDefault="00540F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Shell Dlg">
    <w:panose1 w:val="020B0604020202020204"/>
    <w:charset w:val="00"/>
    <w:family w:val="swiss"/>
    <w:pitch w:val="variable"/>
    <w:sig w:usb0="E5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40FA8" w:rsidRDefault="00540FA8">
      <w:r>
        <w:separator/>
      </w:r>
    </w:p>
  </w:footnote>
  <w:footnote w:type="continuationSeparator" w:id="0">
    <w:p w:rsidR="00540FA8" w:rsidRDefault="00540FA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25B" w:rsidRDefault="0045325B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</w:p>
  <w:p w:rsidR="0045325B" w:rsidRPr="000400F9" w:rsidRDefault="00B020BE" w:rsidP="007D3B9D">
    <w:pPr>
      <w:pStyle w:val="Header"/>
      <w:ind w:firstLine="2880"/>
      <w:rPr>
        <w:rFonts w:ascii="Arial" w:hAnsi="Arial" w:cs="Arial"/>
        <w:b/>
        <w:sz w:val="22"/>
        <w:szCs w:val="22"/>
        <w:u w:val="single"/>
      </w:rPr>
    </w:pPr>
    <w:r>
      <w:rPr>
        <w:noProof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0</wp:posOffset>
          </wp:positionH>
          <wp:positionV relativeFrom="paragraph">
            <wp:posOffset>-339090</wp:posOffset>
          </wp:positionV>
          <wp:extent cx="1476375" cy="476250"/>
          <wp:effectExtent l="0" t="0" r="0" b="0"/>
          <wp:wrapNone/>
          <wp:docPr id="1" name="Picture 1" descr="qg3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qg3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6375" cy="4762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45325B" w:rsidRPr="000400F9">
      <w:rPr>
        <w:rFonts w:ascii="Arial" w:hAnsi="Arial" w:cs="Arial"/>
        <w:b/>
        <w:sz w:val="22"/>
        <w:szCs w:val="22"/>
        <w:u w:val="single"/>
      </w:rPr>
      <w:t>Cabinet –</w:t>
    </w:r>
    <w:r w:rsidR="0045325B">
      <w:rPr>
        <w:rFonts w:ascii="Arial" w:hAnsi="Arial" w:cs="Arial"/>
        <w:b/>
        <w:sz w:val="22"/>
        <w:szCs w:val="22"/>
        <w:u w:val="single"/>
      </w:rPr>
      <w:t xml:space="preserve"> February 2010</w:t>
    </w:r>
  </w:p>
  <w:p w:rsidR="0045325B" w:rsidRDefault="0045325B" w:rsidP="000400F9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Strengthening the adult sentencing regime</w:t>
    </w:r>
  </w:p>
  <w:p w:rsidR="0045325B" w:rsidRDefault="00DA73DF" w:rsidP="00C23CC8">
    <w:pPr>
      <w:pStyle w:val="Header"/>
      <w:spacing w:before="120"/>
      <w:rPr>
        <w:rFonts w:ascii="Arial" w:hAnsi="Arial" w:cs="Arial"/>
        <w:b/>
        <w:sz w:val="22"/>
        <w:szCs w:val="22"/>
        <w:u w:val="single"/>
      </w:rPr>
    </w:pPr>
    <w:r>
      <w:rPr>
        <w:rFonts w:ascii="Arial" w:hAnsi="Arial" w:cs="Arial"/>
        <w:b/>
        <w:sz w:val="22"/>
        <w:szCs w:val="22"/>
        <w:u w:val="single"/>
      </w:rPr>
      <w:t>Attorney-General</w:t>
    </w:r>
    <w:r w:rsidR="0045325B">
      <w:rPr>
        <w:rFonts w:ascii="Arial" w:hAnsi="Arial" w:cs="Arial"/>
        <w:b/>
        <w:sz w:val="22"/>
        <w:szCs w:val="22"/>
        <w:u w:val="single"/>
      </w:rPr>
      <w:t xml:space="preserve"> and Minister </w:t>
    </w:r>
    <w:r>
      <w:rPr>
        <w:rFonts w:ascii="Arial" w:hAnsi="Arial" w:cs="Arial"/>
        <w:b/>
        <w:sz w:val="22"/>
        <w:szCs w:val="22"/>
        <w:u w:val="single"/>
      </w:rPr>
      <w:t>for Industrial Relations</w:t>
    </w:r>
  </w:p>
  <w:p w:rsidR="0045325B" w:rsidRPr="00F10DF9" w:rsidRDefault="0045325B" w:rsidP="00F10DF9">
    <w:pPr>
      <w:pStyle w:val="Header"/>
      <w:pBdr>
        <w:bottom w:val="single" w:sz="8" w:space="1" w:color="auto"/>
      </w:pBdr>
      <w:spacing w:line="180" w:lineRule="exact"/>
      <w:rPr>
        <w:rFonts w:ascii="Arial" w:hAnsi="Arial" w:cs="Arial"/>
        <w:sz w:val="22"/>
        <w:szCs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FC7DD2"/>
    <w:multiLevelType w:val="hybridMultilevel"/>
    <w:tmpl w:val="5366E87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6F30372"/>
    <w:multiLevelType w:val="hybridMultilevel"/>
    <w:tmpl w:val="BECADF86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B005C28"/>
    <w:multiLevelType w:val="multilevel"/>
    <w:tmpl w:val="A5485B5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C1E4432"/>
    <w:multiLevelType w:val="hybridMultilevel"/>
    <w:tmpl w:val="5D48E74C"/>
    <w:lvl w:ilvl="0" w:tplc="7CDC95DA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154A33AE">
      <w:start w:val="6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cs="Arial"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E2006F5"/>
    <w:multiLevelType w:val="hybridMultilevel"/>
    <w:tmpl w:val="3BA6C102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4770FB"/>
    <w:multiLevelType w:val="hybridMultilevel"/>
    <w:tmpl w:val="4C88666A"/>
    <w:lvl w:ilvl="0" w:tplc="4E6874E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3EA92BC5"/>
    <w:multiLevelType w:val="multilevel"/>
    <w:tmpl w:val="AD8EB970"/>
    <w:lvl w:ilvl="0">
      <w:start w:val="1"/>
      <w:numFmt w:val="decimal"/>
      <w:pStyle w:val="clausenumber"/>
      <w:suff w:val="space"/>
      <w:lvlText w:val="Clause %1"/>
      <w:lvlJc w:val="left"/>
      <w:pPr>
        <w:ind w:left="0" w:firstLine="0"/>
      </w:pPr>
      <w:rPr>
        <w:rFonts w:ascii="Times New Roman" w:hAnsi="Times New Roman" w:hint="default"/>
        <w:b w:val="0"/>
        <w:i/>
        <w:sz w:val="24"/>
      </w:rPr>
    </w:lvl>
    <w:lvl w:ilvl="1">
      <w:start w:val="1"/>
      <w:numFmt w:val="lowerLetter"/>
      <w:lvlText w:val="%2)"/>
      <w:lvlJc w:val="left"/>
      <w:pPr>
        <w:tabs>
          <w:tab w:val="num" w:pos="737"/>
        </w:tabs>
        <w:ind w:left="737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97"/>
        </w:tabs>
        <w:ind w:left="1097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57"/>
        </w:tabs>
        <w:ind w:left="145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17"/>
        </w:tabs>
        <w:ind w:left="181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77"/>
        </w:tabs>
        <w:ind w:left="217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7"/>
        </w:tabs>
        <w:ind w:left="253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97"/>
        </w:tabs>
        <w:ind w:left="289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57"/>
        </w:tabs>
        <w:ind w:left="3257" w:hanging="360"/>
      </w:pPr>
      <w:rPr>
        <w:rFonts w:hint="default"/>
      </w:rPr>
    </w:lvl>
  </w:abstractNum>
  <w:abstractNum w:abstractNumId="7" w15:restartNumberingAfterBreak="0">
    <w:nsid w:val="4481405E"/>
    <w:multiLevelType w:val="hybridMultilevel"/>
    <w:tmpl w:val="C55282AC"/>
    <w:lvl w:ilvl="0" w:tplc="74CAE7C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5F81086"/>
    <w:multiLevelType w:val="hybridMultilevel"/>
    <w:tmpl w:val="3F66B2AA"/>
    <w:lvl w:ilvl="0" w:tplc="9DF2CB62">
      <w:start w:val="1"/>
      <w:numFmt w:val="bullet"/>
      <w:lvlText w:val=""/>
      <w:lvlJc w:val="left"/>
      <w:pPr>
        <w:tabs>
          <w:tab w:val="num" w:pos="624"/>
        </w:tabs>
        <w:ind w:left="624" w:hanging="284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F9033D"/>
    <w:multiLevelType w:val="hybridMultilevel"/>
    <w:tmpl w:val="B16C20FC"/>
    <w:lvl w:ilvl="0" w:tplc="0C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Symbol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16613B"/>
    <w:multiLevelType w:val="hybridMultilevel"/>
    <w:tmpl w:val="A5485B54"/>
    <w:lvl w:ilvl="0" w:tplc="0C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C3F5A71"/>
    <w:multiLevelType w:val="hybridMultilevel"/>
    <w:tmpl w:val="2DCEBE1E"/>
    <w:lvl w:ilvl="0" w:tplc="B7A0238C">
      <w:start w:val="1"/>
      <w:numFmt w:val="bullet"/>
      <w:lvlText w:val=""/>
      <w:lvlJc w:val="left"/>
      <w:pPr>
        <w:tabs>
          <w:tab w:val="num" w:pos="569"/>
        </w:tabs>
        <w:ind w:left="569" w:hanging="454"/>
      </w:pPr>
      <w:rPr>
        <w:rFonts w:ascii="Symbol" w:hAnsi="Symbol" w:hint="default"/>
        <w:color w:val="auto"/>
        <w:sz w:val="23"/>
      </w:rPr>
    </w:lvl>
    <w:lvl w:ilvl="1" w:tplc="0C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A2E5765"/>
    <w:multiLevelType w:val="hybridMultilevel"/>
    <w:tmpl w:val="2636385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3666136"/>
    <w:multiLevelType w:val="multilevel"/>
    <w:tmpl w:val="0C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4" w15:restartNumberingAfterBreak="0">
    <w:nsid w:val="75D24CCD"/>
    <w:multiLevelType w:val="hybridMultilevel"/>
    <w:tmpl w:val="4232C458"/>
    <w:lvl w:ilvl="0" w:tplc="DF880D0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E46E001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4"/>
        <w:szCs w:val="24"/>
      </w:rPr>
    </w:lvl>
    <w:lvl w:ilvl="2" w:tplc="BC3CBA5E">
      <w:start w:val="1"/>
      <w:numFmt w:val="bullet"/>
      <w:lvlText w:val="­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 w15:restartNumberingAfterBreak="0">
    <w:nsid w:val="770B3013"/>
    <w:multiLevelType w:val="hybridMultilevel"/>
    <w:tmpl w:val="27288AE8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77427D55"/>
    <w:multiLevelType w:val="hybridMultilevel"/>
    <w:tmpl w:val="E79E3230"/>
    <w:lvl w:ilvl="0" w:tplc="B7A0238C">
      <w:start w:val="1"/>
      <w:numFmt w:val="bullet"/>
      <w:lvlText w:val=""/>
      <w:lvlJc w:val="left"/>
      <w:pPr>
        <w:tabs>
          <w:tab w:val="num" w:pos="454"/>
        </w:tabs>
        <w:ind w:left="454" w:hanging="454"/>
      </w:pPr>
      <w:rPr>
        <w:rFonts w:ascii="Symbol" w:hAnsi="Symbol" w:hint="default"/>
        <w:color w:val="auto"/>
        <w:sz w:val="23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788D0369"/>
    <w:multiLevelType w:val="hybridMultilevel"/>
    <w:tmpl w:val="F14A6E36"/>
    <w:lvl w:ilvl="0" w:tplc="2E30464A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7EEB4384"/>
    <w:multiLevelType w:val="hybridMultilevel"/>
    <w:tmpl w:val="CB4236AC"/>
    <w:lvl w:ilvl="0" w:tplc="8F02EAEE">
      <w:start w:val="1"/>
      <w:numFmt w:val="decimal"/>
      <w:lvlText w:val="%1."/>
      <w:lvlJc w:val="left"/>
      <w:pPr>
        <w:tabs>
          <w:tab w:val="num" w:pos="720"/>
        </w:tabs>
        <w:ind w:left="720" w:hanging="363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F176F87"/>
    <w:multiLevelType w:val="hybridMultilevel"/>
    <w:tmpl w:val="2396ACA6"/>
    <w:lvl w:ilvl="0" w:tplc="0C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8F02EAEE">
      <w:start w:val="1"/>
      <w:numFmt w:val="decimal"/>
      <w:lvlText w:val="%2."/>
      <w:lvlJc w:val="left"/>
      <w:pPr>
        <w:tabs>
          <w:tab w:val="num" w:pos="1443"/>
        </w:tabs>
        <w:ind w:left="1443" w:hanging="363"/>
      </w:pPr>
      <w:rPr>
        <w:rFonts w:hint="default"/>
      </w:rPr>
    </w:lvl>
    <w:lvl w:ilvl="2" w:tplc="0C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17"/>
  </w:num>
  <w:num w:numId="4">
    <w:abstractNumId w:val="5"/>
  </w:num>
  <w:num w:numId="5">
    <w:abstractNumId w:val="1"/>
  </w:num>
  <w:num w:numId="6">
    <w:abstractNumId w:val="19"/>
  </w:num>
  <w:num w:numId="7">
    <w:abstractNumId w:val="18"/>
  </w:num>
  <w:num w:numId="8">
    <w:abstractNumId w:val="16"/>
  </w:num>
  <w:num w:numId="9">
    <w:abstractNumId w:val="13"/>
  </w:num>
  <w:num w:numId="10">
    <w:abstractNumId w:val="11"/>
  </w:num>
  <w:num w:numId="11">
    <w:abstractNumId w:val="9"/>
  </w:num>
  <w:num w:numId="12">
    <w:abstractNumId w:val="4"/>
  </w:num>
  <w:num w:numId="13">
    <w:abstractNumId w:val="8"/>
  </w:num>
  <w:num w:numId="14">
    <w:abstractNumId w:val="14"/>
  </w:num>
  <w:num w:numId="15">
    <w:abstractNumId w:val="15"/>
  </w:num>
  <w:num w:numId="16">
    <w:abstractNumId w:val="10"/>
  </w:num>
  <w:num w:numId="17">
    <w:abstractNumId w:val="2"/>
  </w:num>
  <w:num w:numId="18">
    <w:abstractNumId w:val="7"/>
  </w:num>
  <w:num w:numId="19">
    <w:abstractNumId w:val="6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70"/>
  <w:removePersonalInformation/>
  <w:removeDateAndTime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78C4"/>
    <w:rsid w:val="00021B34"/>
    <w:rsid w:val="0002413F"/>
    <w:rsid w:val="00024873"/>
    <w:rsid w:val="000400F9"/>
    <w:rsid w:val="00043CC9"/>
    <w:rsid w:val="00054323"/>
    <w:rsid w:val="000B041C"/>
    <w:rsid w:val="000B174F"/>
    <w:rsid w:val="000B545C"/>
    <w:rsid w:val="000D726E"/>
    <w:rsid w:val="000F7A85"/>
    <w:rsid w:val="000F7F8B"/>
    <w:rsid w:val="0011347C"/>
    <w:rsid w:val="001141E1"/>
    <w:rsid w:val="00133013"/>
    <w:rsid w:val="00133A34"/>
    <w:rsid w:val="00160524"/>
    <w:rsid w:val="001A08B3"/>
    <w:rsid w:val="001F04A4"/>
    <w:rsid w:val="00220C6E"/>
    <w:rsid w:val="00221C68"/>
    <w:rsid w:val="00225C6B"/>
    <w:rsid w:val="00231BBD"/>
    <w:rsid w:val="002372F8"/>
    <w:rsid w:val="00254E35"/>
    <w:rsid w:val="0026049F"/>
    <w:rsid w:val="0028053C"/>
    <w:rsid w:val="002F143B"/>
    <w:rsid w:val="002F57E4"/>
    <w:rsid w:val="00307342"/>
    <w:rsid w:val="00314FEB"/>
    <w:rsid w:val="0032048B"/>
    <w:rsid w:val="00327BCC"/>
    <w:rsid w:val="00346156"/>
    <w:rsid w:val="0036304B"/>
    <w:rsid w:val="00382380"/>
    <w:rsid w:val="003A269C"/>
    <w:rsid w:val="003A2E0F"/>
    <w:rsid w:val="003B2508"/>
    <w:rsid w:val="003C3732"/>
    <w:rsid w:val="004011A1"/>
    <w:rsid w:val="004035F9"/>
    <w:rsid w:val="004036DA"/>
    <w:rsid w:val="00407F6B"/>
    <w:rsid w:val="00435BE5"/>
    <w:rsid w:val="0045325B"/>
    <w:rsid w:val="0048019C"/>
    <w:rsid w:val="00481458"/>
    <w:rsid w:val="00486A99"/>
    <w:rsid w:val="00490874"/>
    <w:rsid w:val="004A1BDE"/>
    <w:rsid w:val="004A7FF3"/>
    <w:rsid w:val="004E6C38"/>
    <w:rsid w:val="004E786B"/>
    <w:rsid w:val="004E7ECC"/>
    <w:rsid w:val="00500046"/>
    <w:rsid w:val="00535980"/>
    <w:rsid w:val="00540FA8"/>
    <w:rsid w:val="005503FF"/>
    <w:rsid w:val="00562AE4"/>
    <w:rsid w:val="0056401D"/>
    <w:rsid w:val="00571E0A"/>
    <w:rsid w:val="005A17A9"/>
    <w:rsid w:val="005B1D9B"/>
    <w:rsid w:val="005C224F"/>
    <w:rsid w:val="005F022B"/>
    <w:rsid w:val="005F7267"/>
    <w:rsid w:val="00603637"/>
    <w:rsid w:val="006100CC"/>
    <w:rsid w:val="00621D23"/>
    <w:rsid w:val="00631C78"/>
    <w:rsid w:val="00644076"/>
    <w:rsid w:val="006631CF"/>
    <w:rsid w:val="00682036"/>
    <w:rsid w:val="006900FE"/>
    <w:rsid w:val="00690761"/>
    <w:rsid w:val="006B3B54"/>
    <w:rsid w:val="006D0869"/>
    <w:rsid w:val="006E12FB"/>
    <w:rsid w:val="006E6713"/>
    <w:rsid w:val="006F0E9B"/>
    <w:rsid w:val="007060D7"/>
    <w:rsid w:val="00710AAE"/>
    <w:rsid w:val="00726F36"/>
    <w:rsid w:val="0076270E"/>
    <w:rsid w:val="00796B3E"/>
    <w:rsid w:val="007A25F4"/>
    <w:rsid w:val="007A6599"/>
    <w:rsid w:val="007D3B9D"/>
    <w:rsid w:val="007F52D6"/>
    <w:rsid w:val="00800CBB"/>
    <w:rsid w:val="0081615E"/>
    <w:rsid w:val="0082040E"/>
    <w:rsid w:val="00824FCF"/>
    <w:rsid w:val="00845D3E"/>
    <w:rsid w:val="00881C8D"/>
    <w:rsid w:val="00897258"/>
    <w:rsid w:val="008A5246"/>
    <w:rsid w:val="008A5F1B"/>
    <w:rsid w:val="008B7E17"/>
    <w:rsid w:val="008C3732"/>
    <w:rsid w:val="008F44CD"/>
    <w:rsid w:val="00900D2D"/>
    <w:rsid w:val="00922A5B"/>
    <w:rsid w:val="0096389D"/>
    <w:rsid w:val="0096618D"/>
    <w:rsid w:val="00981EF9"/>
    <w:rsid w:val="0099607D"/>
    <w:rsid w:val="009D0C12"/>
    <w:rsid w:val="009F5476"/>
    <w:rsid w:val="00A00A3B"/>
    <w:rsid w:val="00A1181B"/>
    <w:rsid w:val="00A140E0"/>
    <w:rsid w:val="00A20C0E"/>
    <w:rsid w:val="00A21DF8"/>
    <w:rsid w:val="00A265D2"/>
    <w:rsid w:val="00A272E8"/>
    <w:rsid w:val="00A30F55"/>
    <w:rsid w:val="00A32ADF"/>
    <w:rsid w:val="00A354FF"/>
    <w:rsid w:val="00A439F6"/>
    <w:rsid w:val="00A527A5"/>
    <w:rsid w:val="00A53050"/>
    <w:rsid w:val="00A85CC2"/>
    <w:rsid w:val="00AA128C"/>
    <w:rsid w:val="00AB6637"/>
    <w:rsid w:val="00AE1995"/>
    <w:rsid w:val="00B020BE"/>
    <w:rsid w:val="00B40BDF"/>
    <w:rsid w:val="00B46F48"/>
    <w:rsid w:val="00B62F97"/>
    <w:rsid w:val="00C054E2"/>
    <w:rsid w:val="00C07656"/>
    <w:rsid w:val="00C10B24"/>
    <w:rsid w:val="00C23CC8"/>
    <w:rsid w:val="00C64CED"/>
    <w:rsid w:val="00C750C1"/>
    <w:rsid w:val="00C805EC"/>
    <w:rsid w:val="00C84982"/>
    <w:rsid w:val="00C85B71"/>
    <w:rsid w:val="00C91588"/>
    <w:rsid w:val="00CB6B43"/>
    <w:rsid w:val="00CC761F"/>
    <w:rsid w:val="00CE6FBA"/>
    <w:rsid w:val="00D05246"/>
    <w:rsid w:val="00D22410"/>
    <w:rsid w:val="00D54601"/>
    <w:rsid w:val="00D6608B"/>
    <w:rsid w:val="00D707EA"/>
    <w:rsid w:val="00D70962"/>
    <w:rsid w:val="00D9747B"/>
    <w:rsid w:val="00DA1220"/>
    <w:rsid w:val="00DA73DF"/>
    <w:rsid w:val="00DD35ED"/>
    <w:rsid w:val="00DD3CD5"/>
    <w:rsid w:val="00DD497C"/>
    <w:rsid w:val="00DF4650"/>
    <w:rsid w:val="00E463C2"/>
    <w:rsid w:val="00E73D61"/>
    <w:rsid w:val="00E742BF"/>
    <w:rsid w:val="00EA00BF"/>
    <w:rsid w:val="00EC1A59"/>
    <w:rsid w:val="00EE08A2"/>
    <w:rsid w:val="00F10DF9"/>
    <w:rsid w:val="00F478C4"/>
    <w:rsid w:val="00F6277D"/>
    <w:rsid w:val="00F756F8"/>
    <w:rsid w:val="00F77F17"/>
    <w:rsid w:val="00FB54A6"/>
    <w:rsid w:val="00FD3FE2"/>
    <w:rsid w:val="00FF27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State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435BE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435BE5"/>
    <w:pPr>
      <w:tabs>
        <w:tab w:val="center" w:pos="4153"/>
        <w:tab w:val="right" w:pos="8306"/>
      </w:tabs>
    </w:pPr>
  </w:style>
  <w:style w:type="paragraph" w:styleId="BalloonText">
    <w:name w:val="Balloon Text"/>
    <w:basedOn w:val="Normal"/>
    <w:semiHidden/>
    <w:rsid w:val="00C85B71"/>
    <w:rPr>
      <w:rFonts w:ascii="MS Shell Dlg" w:hAnsi="MS Shell Dlg" w:cs="MS Shell Dlg"/>
      <w:sz w:val="16"/>
      <w:szCs w:val="16"/>
    </w:rPr>
  </w:style>
  <w:style w:type="character" w:styleId="CommentReference">
    <w:name w:val="annotation reference"/>
    <w:basedOn w:val="DefaultParagraphFont"/>
    <w:semiHidden/>
    <w:rsid w:val="00FF277A"/>
    <w:rPr>
      <w:sz w:val="16"/>
      <w:szCs w:val="16"/>
    </w:rPr>
  </w:style>
  <w:style w:type="paragraph" w:styleId="CommentText">
    <w:name w:val="annotation text"/>
    <w:basedOn w:val="Normal"/>
    <w:semiHidden/>
    <w:rsid w:val="00FF277A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F277A"/>
    <w:rPr>
      <w:b/>
      <w:bCs/>
    </w:rPr>
  </w:style>
  <w:style w:type="paragraph" w:customStyle="1" w:styleId="clausenumber">
    <w:name w:val="clause number"/>
    <w:basedOn w:val="Normal"/>
    <w:rsid w:val="0081615E"/>
    <w:pPr>
      <w:numPr>
        <w:numId w:val="19"/>
      </w:numPr>
      <w:jc w:val="both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44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350</Words>
  <Characters>1914</Characters>
  <Application>Microsoft Office Word</Application>
  <DocSecurity>0</DocSecurity>
  <Lines>32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2265</CharactersWithSpaces>
  <SharedDoc>false</SharedDoc>
  <HyperlinkBase>https://www.cabinet.qld.gov.au/documents/2010/Feb/Strengthening the Adult Sentencing Regime/</HyperlinkBase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2</cp:revision>
  <cp:lastPrinted>2011-06-30T23:18:00Z</cp:lastPrinted>
  <dcterms:created xsi:type="dcterms:W3CDTF">2017-10-24T22:19:00Z</dcterms:created>
  <dcterms:modified xsi:type="dcterms:W3CDTF">2018-03-06T01:02:00Z</dcterms:modified>
  <cp:category>Justice,Crime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2104895696</vt:i4>
  </property>
  <property fmtid="{D5CDD505-2E9C-101B-9397-08002B2CF9AE}" pid="4" name="_ReviewingToolsShownOnce">
    <vt:lpwstr/>
  </property>
</Properties>
</file>